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22 122 vom 8. Juli 2024</w:t>
      </w:r>
    </w:p>
    <w:p>
      <w:r>
        <w:t>VS Kantonsgericht, 2024-07-08, FR</w:t>
      </w:r>
    </w:p>
    <w:p>
      <w:r>
        <w:rPr>
          <w:b/>
        </w:rPr>
        <w:t xml:space="preserve">Quelle: </w:t>
      </w:r>
      <w:r>
        <w:t>https://mcp.opencaselaw.ch/entscheid/vs_gerichte_S1 22 122</w:t>
      </w:r>
    </w:p>
    <w:p>
      <w:r>
        <w:t>FR: VS_GERICHTE S1 22 122 du 8 juillet 2024</w:t>
      </w:r>
    </w:p>
    <w:p>
      <w:r>
        <w:t>IT: VS_GERICHTE S1 22 122 del 8 luglio 2024</w:t>
      </w:r>
    </w:p>
    <w:p>
      <w:pPr>
        <w:pStyle w:val="Heading2"/>
      </w:pPr>
      <w:r>
        <w:t>Regeste</w:t>
      </w:r>
    </w:p>
    <w:p>
      <w:r>
        <w:t>S1 22 122 ARRÊT DU 8 JUILLET 2024 Tribunal cantonal du Valais Cour des assurances sociales Composition : Candido Prada, président ; Jean-Bernard Fournier et Christophe Joris, juges ; Mireille Allegro, greffière en la cause X _________, recourant, représenté par Maître Michel De Palma, avocat, à Sion contre OFFICE CANTONAL AI DU VALAIS, intimé (refus de rente et de mesures d’ordre professionnel ; activité indépendante et âge avancé)</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22 août 2022, le recours dirigé contre les décisions du 13 juin précédent a été interjeté dans le délai légal de trente jours (art. 60 LPGA), compte tenu des féries d’été (art. 38 al. 4 let. b LPGA). Par ailleurs, il a été adressé à l'instance compétente (art. 56 et 57 LPGA ; art. 69 al. 1 LAI ; art. 81a al. 1 LPJA) et répond aux autres conditions formelles de recevabilité (art. 61 let. b LPGA), de sorte que la Cour doit entrer en matière.</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w:t>
      </w:r>
    </w:p>
    <w:p>
      <w:r>
        <w:t>- 6 - 2021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l’état de fait déterminant pour le droit à la rente étant antérieur au 31 décembre 2021, la situation doit être examinée d'après le droit en vigueur jusqu'au 31 décembre 2021. Partant, les dispositions légales applicables seront citées ci-après dans leur teneur à cette date.</w:t>
      </w:r>
    </w:p>
    <w:p>
      <w:r>
        <w:rPr>
          <w:b/>
        </w:rPr>
        <w:t>E. 2</w:t>
      </w:r>
    </w:p>
    <w:p>
      <w:r>
        <w:t>Le litige porte sur le droit du recourant à une rente d’invalidité et à des mesures d’ordre professionnel. Le recourant conteste la capacité de travail exigible de sa part, telle que déterminée par le SMR et estime que l’intimé n’a pas suffisamment tenu compte de son absence d’expérience et de son âge proche de la retraite.</w:t>
      </w:r>
    </w:p>
    <w:p>
      <w:r>
        <w:rPr>
          <w:b/>
        </w:rPr>
        <w:t>E. 3.1</w:t>
      </w:r>
    </w:p>
    <w:p>
      <w:r>
        <w:t>S’agissant de la valeur probante de l’avis du SMR, il sied de rappeler que si le médecin traitant prend, en général, position le premier concernant l’atteinte à la santé et ses effets sur la capacité de travail, il appartient ensuite au SMR de procéder à l’évaluation médicale visant à déterminer s’il s’agit d’une atteinte à la santé ayant valeur d’invalidité (art. 59 al. 2bis aLAI ; cf. OFAS, Circulaire concernant l'invalidité et l'impotence, CIIAI, chiffres 1001 ss). Selon l’article 59 alinéa 2bis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documents ne sont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(cf. art. 61 let. c LPGA ; ATF 125 V 351</w:t>
      </w:r>
    </w:p>
    <w:p>
      <w:r>
        <w:t>- 7 - consid. 3a), les autorités appelées à statuer ont en effet le devoir d'examiner objectivement tous les documents à disposition, quelle que soit leur provenance, puis de décider s'ils permettent de porter un jugement valable sur le droit litigieux (cf. arrêts du Tribunal fédéral 9C_542/2011 du 26 janvier 2012 consid. 4.1 ; I 143/07 du 14 septembre 2007 consid. 3.3).</w:t>
      </w:r>
    </w:p>
    <w:p>
      <w:r>
        <w:rPr>
          <w:b/>
        </w:rPr>
        <w:t>E. 3.2</w:t>
      </w:r>
    </w:p>
    <w:p>
      <w:r>
        <w:t>En l’occurrence, la Cour ne voit pas de raisons de s’écarter de l’avis du SMR. Contrairement à ce que soutient le recourant, il ne se distancie pas fondamentalement de l’avis de la Dresse A _________ et du Dr D _________, étant précisé que dans sa décision du 13 juin 2022, l’OAI a commis une erreur dans la retranscription des limitations définies par le SMR dans son dernier rapport du 31 mai 2022. En effet, s’agissant de la position, le SMR n’a pas souligné « alternée », mais a indiqué que l’assuré ne pouvait pas rester debout de manière prolongée, ce qui correspond à la qualification d’activité « strictement sédentaire » retenue par le Dresse A _________ pour admettre une capacité de travail entière. Quant au Dr D _________, il a confirmé que la situation sur le plan cardiaque était stable et que les limitations étaient essentiellement d’ordre respiratoire. Ainsi, dans une activité respectant strictement les limitations fonctionnelles induites par les problèmes pulmonaires du recourant, la Cour ne voit pas ce qui empêcherait le recourant de mettre en valeur une capacité de travail entière. Le marché de l’emploi offre en effet un large éventail d’activité sédentaire et accessible sans formation professionnelle, avec une simple mise au courant initiale.</w:t>
      </w:r>
    </w:p>
    <w:p>
      <w:r>
        <w:rPr>
          <w:b/>
        </w:rPr>
        <w:t>E. 4</w:t>
      </w:r>
    </w:p>
    <w:p>
      <w:r>
        <w:t>Autre est la question de l’exigibilité du changement d’activité soulevée par le recourant.</w:t>
      </w:r>
    </w:p>
    <w:p>
      <w:r>
        <w:rPr>
          <w:b/>
        </w:rPr>
        <w:t>E. 4.1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w:t>
      </w:r>
    </w:p>
    <w:p>
      <w:r>
        <w:t>- 8 - être pris en compte l'existence d'un marché du travail équilibré et la durée prévisible des rapports de travail.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3.2 et 3.3 et références citées).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9C_578/2009 du 29 décembre 2009 consid. 4.2.4, cité par le recourant et les références).</w:t>
      </w:r>
    </w:p>
    <w:p>
      <w:r>
        <w:rPr>
          <w:b/>
        </w:rPr>
        <w:t>E. 4.2</w:t>
      </w:r>
    </w:p>
    <w:p>
      <w:r>
        <w:t>En l’espèce, la situation du recourant ne correspond pas à celle décrite dans l’arrêt 9C_578/2009 sur lequel l’intéressé se fonde pour affirmer qu’un changement d’activité</w:t>
      </w:r>
    </w:p>
    <w:p>
      <w:r>
        <w:t>- 9 - n’est pas exigible de sa part. En effet, dans cet arrêt, l’assuré ne disposait que d'une capacité résiduelle de travail de 50% qu'il pouvait exploiter aussi bien dans son activité habituelle d'agriculteur que dans toute autre activité adaptée à ses limitations fonctionnelles, ce qui lui donnait droit soit à une demi-rente soit à un quart de rente d’invalidité ; selon l’autorité cantonale, cette faible différence ne justifiait pas d’exiger un changement de profession de la part de l’assuré, ce que le Tribunal fédéral a admis estimant que même si l’affaire devait assurément être regardée comme un cas limite, il convenait d'admettre que le Tribunal cantonal n'avait pas abusé de son pouvoir d'appréciation (cf. consid. 4.3.3). Dans le présent cas, l’état de santé du recourant ne lui permet plus d’exercer son activité indépendante, si ce n’est dans un très faible pourcentage, dès lors que la structure de son exploitation ne lui permet pas de réorganiser son emploi du temps au sein de celle- ci, afin qu’il puisse mettre en valeur sa pleine capacité de travail résiduelle. Or, comme rappelé ci-dessus, le marché du travail en général - et le marché du travail équilibré en particulier -, recouvre suffisamment d’activités ne nécessitant aucune formation spécifique, sédentaires, légères et, dès lors, adaptées aux limitations fonctionnelles du recourant. C’est dès lors à juste titre que l’intimé a estimé que l’assuré pouvait changer d’emploi et s’est référé aux salaires statistiques pour des tâches simples pour fixer le revenu d’invalide réalisable.</w:t>
      </w:r>
    </w:p>
    <w:p>
      <w:r>
        <w:rPr>
          <w:b/>
        </w:rPr>
        <w:t>E. 5</w:t>
      </w:r>
    </w:p>
    <w:p>
      <w:r>
        <w:t>Le recourant soutient enfin que son âge n’a pas été suffisamment pris en compte, qu’une reconversion professionnelle serait en effet difficile à 58 ans et que le salaire d’invalide devrait en tenir compte par le biais d’un abattement de 25%.</w:t>
      </w:r>
    </w:p>
    <w:p>
      <w:r>
        <w:rPr>
          <w:b/>
        </w:rPr>
        <w:t>E. 5.1</w:t>
      </w:r>
    </w:p>
    <w:p>
      <w:r>
        <w:t>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9C_899/2015 du 4 mars 2016 consid. 4.3.1 ; arrêt I 377/98 du 28 juillet 1999 consid. 1 et les références, in VSI 1999 p. 246).</w:t>
      </w:r>
    </w:p>
    <w:p>
      <w:r>
        <w:t>- 10 -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8C_150/2013 du 23 septembre 2013 consid. 3.2 ;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soit dès que les documents médicaux permettent d’établir de manière fiable les faits y relatifs (arrêt du Tribunal fédéral 9C_899/2015 du 4 mars 2016 consid. 4.3.1 ; ATF 138 V 457 consid. 3.3). Il est par ailleurs admis que le seuil à partir duquel on peut parler d’âge avancé se situe autour de 60 ans, même si le Tribunal fédéral n’a pas fixé d’âge limite jusqu’à présent (ATF 138 V 457 consid. 3.1 ; arrêt du Tribunal fédéral 9C_612/2007 du 14 juillet 2008 consid. 5.2).</w:t>
      </w:r>
    </w:p>
    <w:p>
      <w:r>
        <w:rPr>
          <w:b/>
        </w:rPr>
        <w:t>E. 5.2</w:t>
      </w:r>
    </w:p>
    <w:p>
      <w:r>
        <w:t>En l’occurrence, le SMR a conclu qu’une activité adaptée avait toujours été exigible du recourant. Ainsi, il sied de fixer le moment déterminant, au terme du délai d’attente d’une année depuis la première incapacité de travail attestée pour les troubles pulmonaires le 15 mai 2020, soit le 15 mai 2021. A cette date, l’assuré était âgé de 57 ans et 3 mois, soit un âge suffisamment éloigné de l’âge limite pour lui permettre de retrouver un emploi simple et léger, adapté à son état de santé. En effet, le recourant disposait d’une durée d’activité de plus de cinq années, n’excluant pas d’emblée le caractère exploitable de sa capacité résiduelle de travail (ATF 143 V 431 consid. 4.5.2). Au vu des limitations (activité sédentaire, pas de travaux lourds, port de charges occasionnel, pas de marche et pas de nuisances), le nouveau poste de travail n’impliquait pas nécessairement d’adaptations particulières. En outre, le niveau de compétences 1 retenu par l’intimé correspond à des tâches simples qui sont, en règle générale, disponibles indépendamment de l’âge de l’intéressé sur le marché équilibré</w:t>
      </w:r>
    </w:p>
    <w:p>
      <w:r>
        <w:t>- 11 - du travail (arrêt du Tribunal fédéral 9C_695/2010 du 15 mars 2011 consid. 6.3 et les références citées ; cf. arrêt / 2023 / 433 de la Cour des assurances sociales du Tribunal cantonal vaudois AI 235/22 - 209/2023 du 7 août 2023 consid. 7b). Il en va de même concernant l’absence d’expérience professionnelle autre que celle d’agriculteur, invoquée par le recourant, laquelle ne joue pas de rôle s’agissant d’activités simples accessibles sans formation ni connaissances particulières. En outre, l’activité d’indépendant demande de nombreuses compétences, tant manuelles ou pratiques, qu’administratives, financières et de gestion du personnel. Ainsi, la possibilité de retrouver un emploi adapté n’apparaît pas irréaliste. Au vu de ces éléments, l’abattement de 10% opéré par l’intimé sur le revenu d’invalide statistique pour tenir compte du fait que le recourant doit se limiter à des activités légères apparaît adéquat et suffisant. Il convient dès lors de confirmer le taux d’invalidité à hauteur de 15.35%, lequel est insuffisant pour ouvrir le droit à une rente d'invalidité (inférieur à 40%; cf. art. 28 al. 2 LAI).</w:t>
      </w:r>
    </w:p>
    <w:p>
      <w:r>
        <w:rPr>
          <w:b/>
        </w:rPr>
        <w:t>E. 6</w:t>
      </w:r>
    </w:p>
    <w:p>
      <w:r>
        <w:t>Compte tenu de la pleine capacité de travail résiduelle reconnue et du taux d’invalidité inférieur au taux approximatif de 20% ouvrant le droit à un reclassement professionnel (cf. ATF 139 V 399 consid. 5.3), c’est à juste titre que l’intimé a refusé au recourant le droit à des mesures d’ordre professionnel.</w:t>
      </w:r>
    </w:p>
    <w:p>
      <w:r>
        <w:rPr>
          <w:b/>
        </w:rPr>
        <w:t>E. 7</w:t>
      </w:r>
    </w:p>
    <w:p>
      <w:r>
        <w:t>Mal fondé, le recours est rejeté et les décisions entreprises du 13 juin 2022 sont confirmées, sans qu’il y ait lieu de mettre en œuvre de plus amples mesures d’instruction,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145 I 167 consid. 4.1).</w:t>
      </w:r>
    </w:p>
    <w:p>
      <w:r>
        <w:rPr>
          <w:b/>
        </w:rPr>
        <w:t>E. 8.1</w:t>
      </w:r>
    </w:p>
    <w:p>
      <w:r>
        <w:t>Les frais judiciaires, fixés sur le vu du principe de la couverture des frais et de l’équivalence des prestations à 800 fr., sont mis à la charge du recourant qui succombe (art. 61 let. fbis LPGA, art. 69 al. 1bis LAI, art. 1 al. 2, 81a al. 2, 89 al. 1 LPJA) et compensés avec son avance.</w:t>
      </w:r>
    </w:p>
    <w:p>
      <w:r>
        <w:rPr>
          <w:b/>
        </w:rPr>
        <w:t>E. 8.2</w:t>
      </w:r>
    </w:p>
    <w:p>
      <w:r>
        <w:t>Il n’est pas alloué de dépens (art. 61 let. g LPGA).</w:t>
      </w:r>
    </w:p>
    <w:p>
      <w:r>
        <w:t>- 12 - Prononce</w:t>
      </w:r>
    </w:p>
    <w:p>
      <w:r>
        <w:t>1. Le recours est rejeté. 2. Les frais, par 800 francs, sont mis à la charge de X _________. 3. Il n’est pas alloué de dépens.</w:t>
      </w:r>
    </w:p>
    <w:p>
      <w:r>
        <w:t>Sion, le 8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